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0448" w14:textId="0D759CAD" w:rsidR="00255B5E" w:rsidRPr="00CA4863" w:rsidRDefault="00B851FF">
      <w:pPr>
        <w:jc w:val="right"/>
        <w:rPr>
          <w:rFonts w:ascii="Arial" w:hAnsi="Arial" w:cs="Arial"/>
          <w:lang w:val="pl-PL"/>
        </w:rPr>
      </w:pPr>
      <w:r w:rsidRPr="00CA4863">
        <w:rPr>
          <w:rFonts w:ascii="Arial" w:eastAsia="TimesNewRomanPS-BoldItalicMT" w:hAnsi="Arial" w:cs="Arial"/>
          <w:b/>
          <w:i/>
          <w:color w:val="000000"/>
          <w:sz w:val="22"/>
          <w:szCs w:val="24"/>
          <w:lang w:val="pl-PL" w:bidi="ar"/>
        </w:rPr>
        <w:t xml:space="preserve">Załącznik Nr 1 </w:t>
      </w:r>
      <w:r w:rsidRPr="00CA4863">
        <w:rPr>
          <w:rFonts w:ascii="Arial" w:eastAsia="TimesNewRomanPS-BoldItalicMT" w:hAnsi="Arial" w:cs="Arial"/>
          <w:b/>
          <w:i/>
          <w:color w:val="000000"/>
          <w:sz w:val="22"/>
          <w:szCs w:val="24"/>
          <w:lang w:val="pl-PL" w:bidi="ar"/>
        </w:rPr>
        <w:br/>
      </w:r>
      <w:r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 xml:space="preserve">do Zarządzenia </w:t>
      </w:r>
      <w:r w:rsidR="00674AAA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n</w:t>
      </w:r>
      <w:r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r</w:t>
      </w:r>
      <w:r w:rsidR="00674AAA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 xml:space="preserve"> 30</w:t>
      </w:r>
      <w:r w:rsidR="00992071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9</w:t>
      </w:r>
      <w:r w:rsidR="00674AAA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.2023</w:t>
      </w:r>
      <w:r w:rsidRPr="00CA4863">
        <w:rPr>
          <w:rFonts w:ascii="Arial" w:eastAsia="TimesNewRomanPS-ItalicMT" w:hAnsi="Arial" w:cs="Arial"/>
          <w:i/>
          <w:color w:val="000000"/>
          <w:sz w:val="22"/>
          <w:szCs w:val="24"/>
          <w:highlight w:val="yellow"/>
          <w:lang w:val="pl-PL" w:bidi="ar"/>
        </w:rPr>
        <w:br/>
      </w:r>
      <w:r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 xml:space="preserve">Burmistrza Miasta i Gminy Skawina </w:t>
      </w:r>
      <w:r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br/>
        <w:t>z dnia</w:t>
      </w:r>
      <w:r w:rsidR="002049F5"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 xml:space="preserve"> </w:t>
      </w:r>
      <w:r w:rsidR="00992071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20</w:t>
      </w:r>
      <w:r w:rsidR="005623C9"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 xml:space="preserve"> </w:t>
      </w:r>
      <w:r w:rsidR="00587F10"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listopada</w:t>
      </w:r>
      <w:r w:rsidR="005623C9"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 xml:space="preserve"> </w:t>
      </w:r>
      <w:r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202</w:t>
      </w:r>
      <w:r w:rsidR="005623C9"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>3</w:t>
      </w:r>
      <w:r w:rsidRPr="00CA4863">
        <w:rPr>
          <w:rFonts w:ascii="Arial" w:eastAsia="TimesNewRomanPS-ItalicMT" w:hAnsi="Arial" w:cs="Arial"/>
          <w:i/>
          <w:color w:val="000000"/>
          <w:sz w:val="22"/>
          <w:szCs w:val="24"/>
          <w:lang w:val="pl-PL" w:bidi="ar"/>
        </w:rPr>
        <w:t xml:space="preserve"> r. </w:t>
      </w:r>
    </w:p>
    <w:p w14:paraId="2565EAAA" w14:textId="77777777" w:rsidR="00255B5E" w:rsidRPr="00CA4863" w:rsidRDefault="00255B5E">
      <w:pPr>
        <w:rPr>
          <w:rFonts w:ascii="Arial" w:eastAsia="TimesNewRomanPS-BoldMT" w:hAnsi="Arial" w:cs="Arial"/>
          <w:b/>
          <w:color w:val="000000"/>
          <w:sz w:val="24"/>
          <w:szCs w:val="28"/>
          <w:lang w:val="pl-PL" w:bidi="ar"/>
        </w:rPr>
      </w:pPr>
    </w:p>
    <w:p w14:paraId="51E8518D" w14:textId="66C871AE" w:rsidR="00255B5E" w:rsidRPr="00FE4B10" w:rsidRDefault="00B851FF">
      <w:pPr>
        <w:jc w:val="center"/>
        <w:rPr>
          <w:rFonts w:ascii="Arial" w:hAnsi="Arial" w:cs="Arial"/>
          <w:spacing w:val="40"/>
          <w:sz w:val="18"/>
          <w:lang w:val="pl-PL"/>
        </w:rPr>
      </w:pPr>
      <w:r w:rsidRPr="00FE4B10">
        <w:rPr>
          <w:rFonts w:ascii="Arial" w:eastAsia="TimesNewRomanPS-BoldMT" w:hAnsi="Arial" w:cs="Arial"/>
          <w:b/>
          <w:color w:val="000000"/>
          <w:spacing w:val="40"/>
          <w:sz w:val="24"/>
          <w:szCs w:val="28"/>
          <w:lang w:val="pl-PL" w:bidi="ar"/>
        </w:rPr>
        <w:t>R</w:t>
      </w:r>
      <w:r w:rsidR="00CA4863" w:rsidRPr="00FE4B10">
        <w:rPr>
          <w:rFonts w:ascii="Arial" w:eastAsia="TimesNewRomanPS-BoldMT" w:hAnsi="Arial" w:cs="Arial"/>
          <w:b/>
          <w:color w:val="000000"/>
          <w:spacing w:val="40"/>
          <w:sz w:val="24"/>
          <w:szCs w:val="28"/>
          <w:lang w:val="pl-PL" w:bidi="ar"/>
        </w:rPr>
        <w:t>e</w:t>
      </w:r>
      <w:r w:rsidRPr="00FE4B10">
        <w:rPr>
          <w:rFonts w:ascii="Arial" w:eastAsia="TimesNewRomanPS-BoldMT" w:hAnsi="Arial" w:cs="Arial"/>
          <w:b/>
          <w:color w:val="000000"/>
          <w:spacing w:val="40"/>
          <w:sz w:val="24"/>
          <w:szCs w:val="28"/>
          <w:lang w:val="pl-PL" w:bidi="ar"/>
        </w:rPr>
        <w:t>gulamin</w:t>
      </w:r>
    </w:p>
    <w:p w14:paraId="2AF59066" w14:textId="462A23A9" w:rsidR="007B446F" w:rsidRPr="00CA4863" w:rsidRDefault="00B851FF">
      <w:pPr>
        <w:jc w:val="center"/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pracy komisji ds. oceny ofert konkursowych w otwartym konkursie ofert z zakresu</w:t>
      </w:r>
      <w:r w:rsidR="0059004C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 xml:space="preserve"> </w:t>
      </w:r>
      <w:r w:rsidR="007B446F" w:rsidRPr="005D0487">
        <w:rPr>
          <w:rFonts w:ascii="Arial" w:eastAsia="TimesNewRomanPS-BoldMT" w:hAnsi="Arial" w:cs="Arial"/>
          <w:b/>
          <w:color w:val="000000"/>
          <w:sz w:val="22"/>
          <w:szCs w:val="22"/>
          <w:lang w:val="pl-PL" w:bidi="ar"/>
        </w:rPr>
        <w:t>„</w:t>
      </w:r>
      <w:r w:rsidR="00992071" w:rsidRPr="005D0487"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  <w:t>Prowadzenie placówki wsparcia dziennego dla dzieci i młodzieży w Gminie Skawina</w:t>
      </w:r>
      <w:r w:rsidR="007B446F" w:rsidRPr="005D0487">
        <w:rPr>
          <w:rFonts w:ascii="Arial" w:eastAsia="TimesNewRomanPS-BoldMT" w:hAnsi="Arial" w:cs="Arial"/>
          <w:b/>
          <w:color w:val="000000"/>
          <w:sz w:val="22"/>
          <w:szCs w:val="22"/>
          <w:lang w:val="pl-PL" w:bidi="ar"/>
        </w:rPr>
        <w:t>”</w:t>
      </w:r>
      <w:r w:rsidR="005D0487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br/>
        <w:t>|</w:t>
      </w:r>
      <w:r w:rsidR="007B446F" w:rsidRPr="0059004C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w</w:t>
      </w:r>
      <w:r w:rsidR="0059004C" w:rsidRPr="0059004C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 okresie od 2 stycznia do 31 grudnia</w:t>
      </w:r>
      <w:r w:rsidR="007B446F" w:rsidRPr="0059004C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 xml:space="preserve"> 202</w:t>
      </w:r>
      <w:r w:rsidR="0059004C" w:rsidRPr="0059004C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3</w:t>
      </w:r>
      <w:r w:rsidR="007B446F" w:rsidRPr="0059004C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 xml:space="preserve"> r.</w:t>
      </w:r>
    </w:p>
    <w:p w14:paraId="51E37AC0" w14:textId="77777777" w:rsidR="007B446F" w:rsidRPr="00CA4863" w:rsidRDefault="007B446F">
      <w:pPr>
        <w:jc w:val="center"/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</w:pPr>
    </w:p>
    <w:p w14:paraId="799884A3" w14:textId="3A79133A" w:rsidR="00255B5E" w:rsidRPr="00CA4863" w:rsidRDefault="00B851FF">
      <w:pPr>
        <w:jc w:val="center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§ 1</w:t>
      </w:r>
    </w:p>
    <w:p w14:paraId="6B2551AE" w14:textId="50923CDE" w:rsidR="00255B5E" w:rsidRPr="00CA4863" w:rsidRDefault="00B851FF" w:rsidP="00516C9A">
      <w:pPr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Regulamin pracy komisji ds. oceny ofert </w:t>
      </w:r>
      <w:r w:rsidR="00600908"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w otwartym konkursie ofert 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z zakresu</w:t>
      </w:r>
      <w:r w:rsidR="003768D8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 </w:t>
      </w:r>
      <w:r w:rsidR="005D0487" w:rsidRPr="005D0487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„Prowadzenie placówki wsparcia dziennego dla dzieci i młodzieży w Gminie Skawina”</w:t>
      </w:r>
      <w:r w:rsidR="003768D8" w:rsidRPr="003768D8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 w okresie od 2 stycznia do 31 grudnia 2023 r.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, zwany w dalszej części Regulaminem, określa strukturę komisji, przedmiot oraz zasady jej działania. </w:t>
      </w:r>
    </w:p>
    <w:p w14:paraId="11BB72C8" w14:textId="77777777" w:rsidR="00255B5E" w:rsidRPr="00CA4863" w:rsidRDefault="00B851FF">
      <w:pPr>
        <w:jc w:val="center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§ 2</w:t>
      </w:r>
    </w:p>
    <w:p w14:paraId="5F2F0BCA" w14:textId="038175ED" w:rsidR="00255B5E" w:rsidRPr="00CA4863" w:rsidRDefault="00B851FF" w:rsidP="00516C9A">
      <w:pPr>
        <w:ind w:left="284" w:hanging="284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1. Burmistrz Miasta i Gminy Skawina powołuje komisję ds. oceny ofert konkursowych w otwartym konkursie ofert z zakresu </w:t>
      </w:r>
      <w:r w:rsidR="005D0487" w:rsidRPr="005D0487">
        <w:rPr>
          <w:rFonts w:ascii="Arial" w:eastAsia="TimesNewRomanPS-BoldMT" w:hAnsi="Arial" w:cs="Arial"/>
          <w:bCs/>
          <w:color w:val="000000"/>
          <w:sz w:val="22"/>
          <w:szCs w:val="22"/>
          <w:lang w:val="pl-PL" w:bidi="ar"/>
        </w:rPr>
        <w:t>„Prowadzenie placówki wsparcia dziennego dla dzieci i młodzieży w</w:t>
      </w:r>
      <w:r w:rsidR="0021003E">
        <w:rPr>
          <w:rFonts w:ascii="Arial" w:eastAsia="TimesNewRomanPS-BoldMT" w:hAnsi="Arial" w:cs="Arial"/>
          <w:bCs/>
          <w:color w:val="000000"/>
          <w:sz w:val="22"/>
          <w:szCs w:val="22"/>
          <w:lang w:val="pl-PL" w:bidi="ar"/>
        </w:rPr>
        <w:t> </w:t>
      </w:r>
      <w:r w:rsidR="005D0487" w:rsidRPr="005D0487">
        <w:rPr>
          <w:rFonts w:ascii="Arial" w:eastAsia="TimesNewRomanPS-BoldMT" w:hAnsi="Arial" w:cs="Arial"/>
          <w:bCs/>
          <w:color w:val="000000"/>
          <w:sz w:val="22"/>
          <w:szCs w:val="22"/>
          <w:lang w:val="pl-PL" w:bidi="ar"/>
        </w:rPr>
        <w:t>Gminie Skawina”</w:t>
      </w:r>
      <w:r w:rsidR="005D0487">
        <w:rPr>
          <w:rFonts w:ascii="Arial" w:eastAsia="TimesNewRomanPS-BoldMT" w:hAnsi="Arial" w:cs="Arial"/>
          <w:bCs/>
          <w:color w:val="000000"/>
          <w:sz w:val="22"/>
          <w:szCs w:val="22"/>
          <w:lang w:val="pl-PL" w:bidi="ar"/>
        </w:rPr>
        <w:t xml:space="preserve"> </w:t>
      </w:r>
      <w:r w:rsidR="00582B11" w:rsidRPr="00582B11">
        <w:rPr>
          <w:rFonts w:ascii="Arial" w:eastAsia="TimesNewRomanPS-BoldMT" w:hAnsi="Arial" w:cs="Arial"/>
          <w:bCs/>
          <w:color w:val="000000"/>
          <w:sz w:val="22"/>
          <w:szCs w:val="22"/>
          <w:lang w:val="pl-PL" w:bidi="ar"/>
        </w:rPr>
        <w:t>w okresie od 2 stycznia do 31 grudnia 2023 r.</w:t>
      </w:r>
      <w:r w:rsidR="00582B11">
        <w:rPr>
          <w:rFonts w:ascii="Arial" w:eastAsia="TimesNewRomanPS-BoldMT" w:hAnsi="Arial" w:cs="Arial"/>
          <w:bCs/>
          <w:color w:val="000000"/>
          <w:sz w:val="22"/>
          <w:szCs w:val="22"/>
          <w:lang w:val="pl-PL" w:bidi="ar"/>
        </w:rPr>
        <w:t xml:space="preserve">, 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zwaną dalej „komisją”. </w:t>
      </w:r>
    </w:p>
    <w:p w14:paraId="2AE439DF" w14:textId="77777777" w:rsidR="00255B5E" w:rsidRPr="00CA4863" w:rsidRDefault="00B851FF" w:rsidP="00516C9A">
      <w:pPr>
        <w:ind w:left="284" w:hanging="284"/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 xml:space="preserve">2. W skład komisji wchodzą: </w:t>
      </w:r>
    </w:p>
    <w:p w14:paraId="410BF4FC" w14:textId="4BF9FCA9" w:rsidR="00F21010" w:rsidRPr="00CA4863" w:rsidRDefault="00B851FF" w:rsidP="00516C9A">
      <w:pPr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1) Przewodnicząca Komisji 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</w:r>
      <w:r w:rsidR="00F21010" w:rsidRPr="00CA4863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Joanna Maryon-Golonka</w:t>
      </w:r>
    </w:p>
    <w:p w14:paraId="02C22CC9" w14:textId="0B9ED3C6" w:rsidR="00F21010" w:rsidRPr="00CA4863" w:rsidRDefault="00F21010" w:rsidP="00516C9A">
      <w:pPr>
        <w:ind w:left="3780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Zastępca Kierownika Wydziału Promocji, Sportu i</w:t>
      </w:r>
      <w:r w:rsidR="00516C9A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 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Współpracy </w:t>
      </w:r>
    </w:p>
    <w:p w14:paraId="3A38F589" w14:textId="29BA5090" w:rsidR="00255B5E" w:rsidRPr="00CA4863" w:rsidRDefault="00B851FF" w:rsidP="00516C9A">
      <w:pPr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2) Zastępca Przewodniczącej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  <w:t xml:space="preserve"> 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</w:r>
      <w:r w:rsidRPr="00CA4863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Dorota Bal</w:t>
      </w:r>
    </w:p>
    <w:p w14:paraId="36305965" w14:textId="1B4E06BD" w:rsidR="00255B5E" w:rsidRPr="00CA4863" w:rsidRDefault="004B480D" w:rsidP="00516C9A">
      <w:pPr>
        <w:ind w:left="3360" w:firstLine="420"/>
        <w:rPr>
          <w:rFonts w:ascii="Arial" w:hAnsi="Arial" w:cs="Arial"/>
          <w:sz w:val="18"/>
          <w:lang w:val="pl-PL"/>
        </w:rPr>
      </w:pPr>
      <w:r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I</w:t>
      </w:r>
      <w:r w:rsidR="00B851FF"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nspektor Wydziału Promocji, Sportu i Współpracy </w:t>
      </w:r>
    </w:p>
    <w:p w14:paraId="77E23C3F" w14:textId="77777777" w:rsidR="00255B5E" w:rsidRPr="00CA4863" w:rsidRDefault="00B851FF" w:rsidP="00516C9A">
      <w:pPr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-BoldMT" w:hAnsi="Arial" w:cs="Arial"/>
          <w:color w:val="000000"/>
          <w:sz w:val="22"/>
          <w:szCs w:val="24"/>
          <w:lang w:val="pl-PL" w:bidi="ar"/>
        </w:rPr>
        <w:t>oraz członkowie: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 </w:t>
      </w:r>
    </w:p>
    <w:p w14:paraId="3D2E44CF" w14:textId="2BB53BA3" w:rsidR="00255B5E" w:rsidRPr="00CA4863" w:rsidRDefault="00B851FF" w:rsidP="00516C9A">
      <w:pPr>
        <w:ind w:left="3780" w:hanging="3780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3) </w:t>
      </w:r>
      <w:r w:rsidR="004B480D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J</w:t>
      </w:r>
      <w:r w:rsidR="00F21010" w:rsidRPr="00CA4863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o</w:t>
      </w:r>
      <w:r w:rsidR="004B480D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anna Rudek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</w:r>
      <w:r w:rsidR="004B480D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D</w:t>
      </w:r>
      <w:r w:rsidR="00E56D7C"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y</w:t>
      </w:r>
      <w:r w:rsidR="004B480D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rektor Centrum Usług Społecznych w Skawinie</w:t>
      </w:r>
    </w:p>
    <w:p w14:paraId="33127FDC" w14:textId="259AF0E9" w:rsidR="00255B5E" w:rsidRPr="00CA4863" w:rsidRDefault="00B851FF" w:rsidP="00516C9A">
      <w:pPr>
        <w:ind w:left="3780" w:hanging="3780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4) </w:t>
      </w:r>
      <w:r w:rsidR="004B480D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Monika Kozak</w:t>
      </w:r>
      <w:r w:rsidR="004B480D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ab/>
      </w:r>
      <w:r w:rsidR="00516C9A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Zastępca Dyrektora Centrum Usług Społecznych w Skawinie</w:t>
      </w:r>
    </w:p>
    <w:p w14:paraId="67BFD969" w14:textId="44767A67" w:rsidR="00255B5E" w:rsidRPr="00CA4863" w:rsidRDefault="00B851FF" w:rsidP="00516C9A">
      <w:pPr>
        <w:ind w:left="3780" w:hanging="3780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5) </w:t>
      </w:r>
      <w:r w:rsidR="004B480D" w:rsidRPr="00CA4863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Monika Kret</w:t>
      </w:r>
      <w:r w:rsidR="004B480D"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  <w:t>Inspektor Wydziału Promocji, Sportu i Współpracy</w:t>
      </w:r>
    </w:p>
    <w:p w14:paraId="3557B6E3" w14:textId="512FD81C" w:rsidR="00255B5E" w:rsidRPr="00CA4863" w:rsidRDefault="002049F5" w:rsidP="00516C9A">
      <w:pPr>
        <w:ind w:left="3780" w:hanging="3780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6</w:t>
      </w:r>
      <w:r w:rsidR="00B851FF"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) </w:t>
      </w:r>
      <w:r w:rsidR="00C61E7B">
        <w:rPr>
          <w:rFonts w:ascii="Arial" w:eastAsia="TimesNewRomanPSMT" w:hAnsi="Arial" w:cs="Arial"/>
          <w:b/>
          <w:color w:val="000000"/>
          <w:sz w:val="22"/>
          <w:szCs w:val="24"/>
          <w:lang w:val="pl-PL" w:bidi="ar"/>
        </w:rPr>
        <w:t>Ewa Szostek</w:t>
      </w:r>
      <w:r w:rsidR="00B851FF"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ab/>
        <w:t>Przedstawiciel</w:t>
      </w:r>
      <w:r w:rsidR="00C61E7B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ka</w:t>
      </w:r>
      <w:r w:rsidR="00B851FF"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 sektora pozarządowego</w:t>
      </w:r>
    </w:p>
    <w:p w14:paraId="01100167" w14:textId="77777777" w:rsidR="00255B5E" w:rsidRPr="00CA4863" w:rsidRDefault="00255B5E" w:rsidP="00516C9A">
      <w:pPr>
        <w:ind w:left="284" w:hanging="284"/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</w:pPr>
    </w:p>
    <w:p w14:paraId="5E128536" w14:textId="77777777" w:rsidR="00255B5E" w:rsidRPr="00CA4863" w:rsidRDefault="00B851FF" w:rsidP="00516C9A">
      <w:pPr>
        <w:ind w:left="284" w:hanging="284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3. Obsługę kancelaryjno-biurową komisji zapewniają pracownicy Wydziału Promocji, Sportu i Współpracy. </w:t>
      </w:r>
    </w:p>
    <w:p w14:paraId="078D5CB0" w14:textId="77777777" w:rsidR="00255B5E" w:rsidRPr="00CA4863" w:rsidRDefault="00B851FF" w:rsidP="00516C9A">
      <w:pPr>
        <w:ind w:left="284" w:hanging="284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lastRenderedPageBreak/>
        <w:t xml:space="preserve">4. Obsługę prawną komisji zapewnia Biuro Obsługi Prawnej Urzędu Miasta i Gminy w Skawinie. </w:t>
      </w:r>
    </w:p>
    <w:p w14:paraId="55297260" w14:textId="77777777" w:rsidR="00255B5E" w:rsidRPr="00CA4863" w:rsidRDefault="00B851FF" w:rsidP="00516C9A">
      <w:pPr>
        <w:ind w:left="284" w:hanging="284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5. Komisja jest organem konsultacyjno-opiniodawczym działającym przy Burmistrzu Miasta i Gminy Skawina w zakresie: </w:t>
      </w:r>
    </w:p>
    <w:p w14:paraId="3215ADAF" w14:textId="77777777" w:rsidR="00255B5E" w:rsidRPr="00CA4863" w:rsidRDefault="00B851FF" w:rsidP="00516C9A">
      <w:pPr>
        <w:ind w:left="709" w:hanging="425"/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1) oceny projektów zgłoszonych do otwartego konkursu ofert pod kątem merytorycznym; </w:t>
      </w:r>
    </w:p>
    <w:p w14:paraId="04B4E021" w14:textId="77777777" w:rsidR="00255B5E" w:rsidRPr="00CA4863" w:rsidRDefault="00B851FF" w:rsidP="00516C9A">
      <w:pPr>
        <w:ind w:left="709" w:hanging="425"/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2) ustalania listy rankingowej projektów wraz z przyznaną punktacją; </w:t>
      </w:r>
    </w:p>
    <w:p w14:paraId="2A070564" w14:textId="77777777" w:rsidR="00255B5E" w:rsidRPr="00CA4863" w:rsidRDefault="00B851FF" w:rsidP="00516C9A">
      <w:pPr>
        <w:ind w:left="567" w:hanging="283"/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3) przedstawiania propozycji kwot dotacji na realizację projektów umieszczonych na listach rankingowych. </w:t>
      </w:r>
    </w:p>
    <w:p w14:paraId="6A669808" w14:textId="77777777" w:rsidR="00255B5E" w:rsidRPr="00CA4863" w:rsidRDefault="00B851FF">
      <w:pPr>
        <w:jc w:val="center"/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§ 3</w:t>
      </w:r>
    </w:p>
    <w:p w14:paraId="7CE3486A" w14:textId="77777777" w:rsidR="00255B5E" w:rsidRPr="00CA4863" w:rsidRDefault="00B851FF" w:rsidP="00516C9A">
      <w:pPr>
        <w:ind w:left="284" w:hanging="284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1. Zebranie komisji zwołuje Przewodnicząca. O terminach posiedzeń członkowie komisji zawiadamiani są przez pracowników Wydziału Promocji, Sportu i Współpracy. Posiedzenie komisji może odbyć się w trybie zdalnym, w formie wideokonferencji.</w:t>
      </w:r>
    </w:p>
    <w:p w14:paraId="365DFEB9" w14:textId="77777777" w:rsidR="00255B5E" w:rsidRPr="00CA4863" w:rsidRDefault="00B851FF" w:rsidP="00516C9A">
      <w:pPr>
        <w:ind w:left="284" w:hanging="284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2. Bieżącą pracę komisji koordynuje Przewodnicząca, która ma prawo, o ile zachodzi uzasadniona potrzeba, powołać podkomisje w celu usprawnienia prac. </w:t>
      </w:r>
    </w:p>
    <w:p w14:paraId="4F01CE8E" w14:textId="77777777" w:rsidR="00255B5E" w:rsidRPr="00CA4863" w:rsidRDefault="00B851FF" w:rsidP="00516C9A">
      <w:pPr>
        <w:ind w:left="284" w:hanging="284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3. W przypadku nieobecności Przewodniczącej jej kompetencje przejmuje jej Zastępca. </w:t>
      </w:r>
    </w:p>
    <w:p w14:paraId="135E0524" w14:textId="77777777" w:rsidR="00255B5E" w:rsidRPr="00CA4863" w:rsidRDefault="00B851FF" w:rsidP="00516C9A">
      <w:pPr>
        <w:ind w:left="284" w:hanging="284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4. Komisja może obradować i podejmować ustalenia przy obecności co najmniej połowy swojego składu. </w:t>
      </w:r>
    </w:p>
    <w:p w14:paraId="18F7EA9B" w14:textId="77777777" w:rsidR="00255B5E" w:rsidRPr="00CA4863" w:rsidRDefault="00B851FF" w:rsidP="00516C9A">
      <w:pPr>
        <w:ind w:left="284" w:hanging="284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5. Przewodnicząca komisji może w razie potrzeby powołać do prac komisji eksperta. </w:t>
      </w:r>
    </w:p>
    <w:p w14:paraId="79EFFC72" w14:textId="77777777" w:rsidR="00255B5E" w:rsidRPr="00CA4863" w:rsidRDefault="00B851FF">
      <w:pPr>
        <w:jc w:val="center"/>
        <w:rPr>
          <w:rFonts w:ascii="Arial" w:hAnsi="Arial" w:cs="Arial"/>
          <w:lang w:val="pl-PL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§ 4</w:t>
      </w:r>
    </w:p>
    <w:p w14:paraId="06B48DD7" w14:textId="77777777" w:rsidR="00255B5E" w:rsidRPr="00CA4863" w:rsidRDefault="00B851FF" w:rsidP="00516C9A">
      <w:pPr>
        <w:ind w:left="284" w:hanging="284"/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1. Ocenie komisji poddawane są jedynie projekty nieposiadające uchybień formalno-merytoryczno-prawnych.</w:t>
      </w:r>
    </w:p>
    <w:p w14:paraId="57B21E49" w14:textId="77777777" w:rsidR="00255B5E" w:rsidRPr="00CA4863" w:rsidRDefault="00B851FF" w:rsidP="00516C9A">
      <w:pPr>
        <w:ind w:left="284" w:hanging="284"/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2. Komisja dokonuje oceny projektów według kryteriów określonych w Zarządzeniu. Członkowie komisji stosują ponadto w ocenie pisemny komentarz. </w:t>
      </w:r>
    </w:p>
    <w:p w14:paraId="6740C4A9" w14:textId="77777777" w:rsidR="00255B5E" w:rsidRPr="00CA4863" w:rsidRDefault="00B851FF" w:rsidP="00516C9A">
      <w:pPr>
        <w:ind w:left="284" w:hanging="284"/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3. W przypadku głosowania, którego wynikiem jest równa ilość głosów decydującym jest głos Przewodniczącej – z zastrzeżeniem § 3 ust. 3.</w:t>
      </w:r>
    </w:p>
    <w:p w14:paraId="3AC5880C" w14:textId="77777777" w:rsidR="00255B5E" w:rsidRPr="00CA4863" w:rsidRDefault="00B851FF">
      <w:pPr>
        <w:jc w:val="center"/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§ 5</w:t>
      </w:r>
    </w:p>
    <w:p w14:paraId="4701097A" w14:textId="77777777" w:rsidR="00255B5E" w:rsidRPr="00CA4863" w:rsidRDefault="00B851FF" w:rsidP="00516C9A">
      <w:pPr>
        <w:rPr>
          <w:rFonts w:ascii="Arial" w:hAnsi="Arial" w:cs="Arial"/>
          <w:sz w:val="18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Zmiany polegające na uszczegółowieniu zapisów w niniejszym Regulaminie mogą być wprowadzane na wniosek większości regulaminowego składu komisji. </w:t>
      </w:r>
    </w:p>
    <w:p w14:paraId="0DD5745A" w14:textId="77777777" w:rsidR="00255B5E" w:rsidRPr="00CA4863" w:rsidRDefault="00B851FF">
      <w:pPr>
        <w:jc w:val="center"/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</w:pPr>
      <w:r w:rsidRPr="00CA4863">
        <w:rPr>
          <w:rFonts w:ascii="Arial" w:eastAsia="TimesNewRomanPS-BoldMT" w:hAnsi="Arial" w:cs="Arial"/>
          <w:b/>
          <w:color w:val="000000"/>
          <w:sz w:val="22"/>
          <w:szCs w:val="24"/>
          <w:lang w:val="pl-PL" w:bidi="ar"/>
        </w:rPr>
        <w:t>§ 6</w:t>
      </w:r>
    </w:p>
    <w:p w14:paraId="50DD4ACE" w14:textId="307C6DD5" w:rsidR="00255B5E" w:rsidRPr="00CA4863" w:rsidRDefault="00B851FF" w:rsidP="00516C9A">
      <w:pPr>
        <w:rPr>
          <w:rFonts w:ascii="Arial" w:hAnsi="Arial" w:cs="Arial"/>
          <w:lang w:val="pl-PL"/>
        </w:rPr>
      </w:pP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Przewodnicząca komisji w terminie nie dłuższym niż do dnia</w:t>
      </w:r>
      <w:r w:rsidR="00961852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 xml:space="preserve"> 2 stycznia 2024 r</w:t>
      </w:r>
      <w:r w:rsidRPr="00CA4863">
        <w:rPr>
          <w:rFonts w:ascii="Arial" w:eastAsia="TimesNewRomanPSMT" w:hAnsi="Arial" w:cs="Arial"/>
          <w:color w:val="000000"/>
          <w:sz w:val="22"/>
          <w:szCs w:val="24"/>
          <w:lang w:val="pl-PL" w:bidi="ar"/>
        </w:rPr>
        <w:t>. przekazuje Burmistrzowi Miasta i Gminy Skawina protokół z posiedzenia, na którym nastąpiło ostateczne zatwierdzenie listy projektów wraz z przyznaną punktacją. Po zapoznaniu się z opinią komisji, Burmistrz Miasta i Gminy Skawina podejmuje decyzję o udzieleniu dotacji.</w:t>
      </w:r>
    </w:p>
    <w:sectPr w:rsidR="00255B5E" w:rsidRPr="00CA4863" w:rsidSect="00F21010">
      <w:pgSz w:w="11906" w:h="16838"/>
      <w:pgMar w:top="1418" w:right="991" w:bottom="1418" w:left="127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5E"/>
    <w:rsid w:val="00093ED5"/>
    <w:rsid w:val="002049F5"/>
    <w:rsid w:val="0021003E"/>
    <w:rsid w:val="00255B5E"/>
    <w:rsid w:val="003768D8"/>
    <w:rsid w:val="004B480D"/>
    <w:rsid w:val="00516C9A"/>
    <w:rsid w:val="005623C9"/>
    <w:rsid w:val="00582B11"/>
    <w:rsid w:val="00587F10"/>
    <w:rsid w:val="0059004C"/>
    <w:rsid w:val="005B4C34"/>
    <w:rsid w:val="005D0487"/>
    <w:rsid w:val="00600908"/>
    <w:rsid w:val="00674AAA"/>
    <w:rsid w:val="007B446F"/>
    <w:rsid w:val="00961852"/>
    <w:rsid w:val="00992071"/>
    <w:rsid w:val="00A536C8"/>
    <w:rsid w:val="00B851FF"/>
    <w:rsid w:val="00C61E7B"/>
    <w:rsid w:val="00CA4863"/>
    <w:rsid w:val="00E56D7C"/>
    <w:rsid w:val="00F21010"/>
    <w:rsid w:val="00F31F61"/>
    <w:rsid w:val="00FD257C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6B17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C635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6352C"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qFormat/>
    <w:rsid w:val="00C6352C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C6352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zeinternetowe">
    <w:name w:val="Łącze internetowe"/>
    <w:basedOn w:val="Domylnaczcionkaakapitu"/>
    <w:qFormat/>
    <w:rsid w:val="00B0026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NewRomanPSMT" w:hAnsi="Times New Roman" w:cs="Times New Roman"/>
      <w:sz w:val="22"/>
      <w:szCs w:val="24"/>
      <w:lang w:val="pl-PL" w:bidi="ar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99"/>
    <w:unhideWhenUsed/>
    <w:qFormat/>
    <w:rsid w:val="0048340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rsid w:val="00C6352C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qFormat/>
    <w:rsid w:val="00C6352C"/>
    <w:rPr>
      <w:b/>
      <w:bCs/>
    </w:rPr>
  </w:style>
  <w:style w:type="paragraph" w:styleId="Tekstdymka">
    <w:name w:val="Balloon Text"/>
    <w:basedOn w:val="Normalny"/>
    <w:link w:val="TekstdymkaZnak"/>
    <w:qFormat/>
    <w:rsid w:val="00C6352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17034-54AF-47FF-9898-6EFA9DB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51</cp:revision>
  <cp:lastPrinted>2020-05-22T08:29:00Z</cp:lastPrinted>
  <dcterms:created xsi:type="dcterms:W3CDTF">2020-05-21T05:15:00Z</dcterms:created>
  <dcterms:modified xsi:type="dcterms:W3CDTF">2023-11-20T13:27:00Z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1045-11.2.0.9052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